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29" w:tblpY="178"/>
        <w:tblOverlap w:val="never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6"/>
        <w:gridCol w:w="5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知识产权服务机构名称</w:t>
            </w:r>
          </w:p>
        </w:tc>
        <w:tc>
          <w:tcPr>
            <w:tcW w:w="5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职务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邮箱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服务模式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服务说明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□互联网+知识产权服务模式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□人工智能服务模式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□云计算服务模式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□智能语音服务模式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□其他__________________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3" w:hRule="atLeast"/>
        </w:trPr>
        <w:tc>
          <w:tcPr>
            <w:tcW w:w="8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提供资料要求：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知识产权服务新模式新业态相关产品及服务介绍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产品图片并附图片说明（3-5张，横版， 1M以上）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发展状况及典型案例介绍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未来规划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36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8" w:hRule="atLeast"/>
        </w:trPr>
        <w:tc>
          <w:tcPr>
            <w:tcW w:w="82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注意事项：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请勾选表格上方知识产权服务新模式新业态的服务模式，并做简要服务说明。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请根据资料要求提供相关材料，字数控制在1500-1800字（不包括产品图片说明的部分），于2019年6月6日之前发送至负责人邮箱：alison.li@hurrymedia.com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材料从实务方面出发，以数字、实例进行说明。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3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4、 审核通过后案例将收录在《知识产权服务业新模式新业态典型案例汇编》当中。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36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案例择优推荐到《中国知识产权杂志》等多个媒体平台发表。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联系人：李瑶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联系方式：010-65159855/13683605397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6EA4"/>
    <w:rsid w:val="5D4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2019-05-31T03:19:00Z</dcterms:created>
  <dc:creator>陈红菊</dc:creator>
  <cp:lastModifiedBy>陈红菊</cp:lastModifiedBy>
  <dcterms:modified xsi:type="dcterms:W3CDTF">2019-05-31T03:23:12Z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